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6" w:beforeAutospacing="0" w:after="210" w:afterAutospacing="0" w:line="360" w:lineRule="atLeast"/>
        <w:ind w:left="0" w:right="0"/>
        <w:jc w:val="center"/>
        <w:rPr>
          <w:rFonts w:hint="eastAsia" w:ascii="仿宋" w:hAnsi="仿宋" w:eastAsia="仿宋" w:cs="仿宋"/>
          <w:sz w:val="24"/>
          <w:szCs w:val="24"/>
        </w:rPr>
      </w:pPr>
      <w:r>
        <w:rPr>
          <w:rFonts w:hint="eastAsia" w:ascii="仿宋" w:hAnsi="仿宋" w:eastAsia="仿宋" w:cs="仿宋"/>
          <w:color w:val="212121"/>
          <w:sz w:val="24"/>
          <w:szCs w:val="24"/>
          <w:bdr w:val="none" w:color="auto" w:sz="0" w:space="0"/>
        </w:rPr>
        <w:t>上期发〔2018〕223号</w:t>
      </w:r>
    </w:p>
    <w:p>
      <w:pPr>
        <w:pStyle w:val="2"/>
        <w:keepNext w:val="0"/>
        <w:keepLines w:val="0"/>
        <w:widowControl/>
        <w:suppressLineNumbers w:val="0"/>
        <w:spacing w:before="76" w:beforeAutospacing="0" w:after="210" w:afterAutospacing="0" w:line="360" w:lineRule="atLeast"/>
        <w:ind w:left="0" w:right="0"/>
        <w:jc w:val="left"/>
        <w:rPr>
          <w:rFonts w:hint="eastAsia" w:ascii="仿宋" w:hAnsi="仿宋" w:eastAsia="仿宋" w:cs="仿宋"/>
          <w:sz w:val="24"/>
          <w:szCs w:val="24"/>
        </w:rPr>
      </w:pPr>
      <w:r>
        <w:rPr>
          <w:rFonts w:hint="eastAsia" w:ascii="仿宋" w:hAnsi="仿宋" w:eastAsia="仿宋" w:cs="仿宋"/>
          <w:color w:val="212121"/>
          <w:sz w:val="24"/>
          <w:szCs w:val="24"/>
          <w:bdr w:val="none" w:color="auto" w:sz="0" w:space="0"/>
        </w:rPr>
        <w:t>各有关单位：</w:t>
      </w:r>
      <w:r>
        <w:rPr>
          <w:rFonts w:hint="eastAsia" w:ascii="仿宋" w:hAnsi="仿宋" w:eastAsia="仿宋" w:cs="仿宋"/>
          <w:color w:val="212121"/>
          <w:sz w:val="24"/>
          <w:szCs w:val="24"/>
          <w:bdr w:val="none" w:color="auto" w:sz="0" w:space="0"/>
        </w:rPr>
        <w:br w:type="textWrapping"/>
      </w:r>
      <w:r>
        <w:rPr>
          <w:rFonts w:hint="eastAsia" w:ascii="仿宋" w:hAnsi="仿宋" w:eastAsia="仿宋" w:cs="仿宋"/>
          <w:color w:val="212121"/>
          <w:sz w:val="24"/>
          <w:szCs w:val="24"/>
          <w:bdr w:val="none" w:color="auto" w:sz="0" w:space="0"/>
        </w:rPr>
        <w:t>　　中国证监会已批准我所开展铜期权交易。根据我所相关规则，现将有关事项通知如下：</w:t>
      </w:r>
      <w:r>
        <w:rPr>
          <w:rFonts w:hint="eastAsia" w:ascii="仿宋" w:hAnsi="仿宋" w:eastAsia="仿宋" w:cs="仿宋"/>
          <w:color w:val="212121"/>
          <w:sz w:val="24"/>
          <w:szCs w:val="24"/>
          <w:bdr w:val="none" w:color="auto" w:sz="0" w:space="0"/>
        </w:rPr>
        <w:br w:type="textWrapping"/>
      </w:r>
      <w:r>
        <w:rPr>
          <w:rFonts w:hint="eastAsia" w:ascii="仿宋" w:hAnsi="仿宋" w:eastAsia="仿宋" w:cs="仿宋"/>
          <w:color w:val="212121"/>
          <w:sz w:val="24"/>
          <w:szCs w:val="24"/>
          <w:bdr w:val="none" w:color="auto" w:sz="0" w:space="0"/>
        </w:rPr>
        <w:t>　　</w:t>
      </w:r>
      <w:r>
        <w:rPr>
          <w:rStyle w:val="4"/>
          <w:rFonts w:hint="eastAsia" w:ascii="仿宋" w:hAnsi="仿宋" w:eastAsia="仿宋" w:cs="仿宋"/>
          <w:color w:val="212121"/>
          <w:sz w:val="24"/>
          <w:szCs w:val="24"/>
          <w:bdr w:val="none" w:color="auto" w:sz="0" w:space="0"/>
        </w:rPr>
        <w:t>一、上市时间</w:t>
      </w:r>
      <w:r>
        <w:rPr>
          <w:rFonts w:hint="eastAsia" w:ascii="仿宋" w:hAnsi="仿宋" w:eastAsia="仿宋" w:cs="仿宋"/>
          <w:color w:val="212121"/>
          <w:sz w:val="24"/>
          <w:szCs w:val="24"/>
          <w:bdr w:val="none" w:color="auto" w:sz="0" w:space="0"/>
        </w:rPr>
        <w:br w:type="textWrapping"/>
      </w:r>
      <w:r>
        <w:rPr>
          <w:rFonts w:hint="eastAsia" w:ascii="仿宋" w:hAnsi="仿宋" w:eastAsia="仿宋" w:cs="仿宋"/>
          <w:color w:val="212121"/>
          <w:sz w:val="24"/>
          <w:szCs w:val="24"/>
          <w:bdr w:val="none" w:color="auto" w:sz="0" w:space="0"/>
        </w:rPr>
        <w:t>　　铜期权自2018年9月21日（周五）起上市交易，当日8:55-9:00集合竞价，9:00开盘。</w:t>
      </w:r>
      <w:r>
        <w:rPr>
          <w:rFonts w:hint="eastAsia" w:ascii="仿宋" w:hAnsi="仿宋" w:eastAsia="仿宋" w:cs="仿宋"/>
          <w:color w:val="212121"/>
          <w:sz w:val="24"/>
          <w:szCs w:val="24"/>
          <w:bdr w:val="none" w:color="auto" w:sz="0" w:space="0"/>
        </w:rPr>
        <w:br w:type="textWrapping"/>
      </w:r>
      <w:r>
        <w:rPr>
          <w:rFonts w:hint="eastAsia" w:ascii="仿宋" w:hAnsi="仿宋" w:eastAsia="仿宋" w:cs="仿宋"/>
          <w:color w:val="212121"/>
          <w:sz w:val="24"/>
          <w:szCs w:val="24"/>
          <w:bdr w:val="none" w:color="auto" w:sz="0" w:space="0"/>
        </w:rPr>
        <w:t>　　</w:t>
      </w:r>
      <w:r>
        <w:rPr>
          <w:rStyle w:val="4"/>
          <w:rFonts w:hint="eastAsia" w:ascii="仿宋" w:hAnsi="仿宋" w:eastAsia="仿宋" w:cs="仿宋"/>
          <w:color w:val="212121"/>
          <w:sz w:val="24"/>
          <w:szCs w:val="24"/>
          <w:bdr w:val="none" w:color="auto" w:sz="0" w:space="0"/>
        </w:rPr>
        <w:t>二、交易时间</w:t>
      </w:r>
      <w:r>
        <w:rPr>
          <w:rFonts w:hint="eastAsia" w:ascii="仿宋" w:hAnsi="仿宋" w:eastAsia="仿宋" w:cs="仿宋"/>
          <w:color w:val="212121"/>
          <w:sz w:val="24"/>
          <w:szCs w:val="24"/>
          <w:bdr w:val="none" w:color="auto" w:sz="0" w:space="0"/>
        </w:rPr>
        <w:br w:type="textWrapping"/>
      </w:r>
      <w:r>
        <w:rPr>
          <w:rFonts w:hint="eastAsia" w:ascii="仿宋" w:hAnsi="仿宋" w:eastAsia="仿宋" w:cs="仿宋"/>
          <w:color w:val="212121"/>
          <w:sz w:val="24"/>
          <w:szCs w:val="24"/>
          <w:bdr w:val="none" w:color="auto" w:sz="0" w:space="0"/>
        </w:rPr>
        <w:t>　　每周一至周五，09:00-10:15、10:30-11:30和13:30-15:00，连续交易时间，每周一至周五21:00-次日01:00。法定节假日（不包含周六和周日）前第一个工作日的连续交易时间段不进行交易。</w:t>
      </w:r>
      <w:r>
        <w:rPr>
          <w:rFonts w:hint="eastAsia" w:ascii="仿宋" w:hAnsi="仿宋" w:eastAsia="仿宋" w:cs="仿宋"/>
          <w:color w:val="212121"/>
          <w:sz w:val="24"/>
          <w:szCs w:val="24"/>
          <w:bdr w:val="none" w:color="auto" w:sz="0" w:space="0"/>
        </w:rPr>
        <w:br w:type="textWrapping"/>
      </w:r>
      <w:r>
        <w:rPr>
          <w:rFonts w:hint="eastAsia" w:ascii="仿宋" w:hAnsi="仿宋" w:eastAsia="仿宋" w:cs="仿宋"/>
          <w:color w:val="212121"/>
          <w:sz w:val="24"/>
          <w:szCs w:val="24"/>
          <w:bdr w:val="none" w:color="auto" w:sz="0" w:space="0"/>
        </w:rPr>
        <w:t>　　</w:t>
      </w:r>
      <w:r>
        <w:rPr>
          <w:rStyle w:val="4"/>
          <w:rFonts w:hint="eastAsia" w:ascii="仿宋" w:hAnsi="仿宋" w:eastAsia="仿宋" w:cs="仿宋"/>
          <w:color w:val="212121"/>
          <w:sz w:val="24"/>
          <w:szCs w:val="24"/>
          <w:bdr w:val="none" w:color="auto" w:sz="0" w:space="0"/>
        </w:rPr>
        <w:t>三、合约</w:t>
      </w:r>
      <w:r>
        <w:rPr>
          <w:rFonts w:hint="eastAsia" w:ascii="仿宋" w:hAnsi="仿宋" w:eastAsia="仿宋" w:cs="仿宋"/>
          <w:color w:val="212121"/>
          <w:sz w:val="24"/>
          <w:szCs w:val="24"/>
          <w:bdr w:val="none" w:color="auto" w:sz="0" w:space="0"/>
        </w:rPr>
        <w:br w:type="textWrapping"/>
      </w:r>
      <w:r>
        <w:rPr>
          <w:rFonts w:hint="eastAsia" w:ascii="仿宋" w:hAnsi="仿宋" w:eastAsia="仿宋" w:cs="仿宋"/>
          <w:color w:val="212121"/>
          <w:sz w:val="24"/>
          <w:szCs w:val="24"/>
          <w:bdr w:val="none" w:color="auto" w:sz="0" w:space="0"/>
        </w:rPr>
        <w:t>　　CU1901、CU1902、CU1903、CU1904、CU1905、CU1906、CU1907、CU1908、CU1909对应的期权合约。</w:t>
      </w:r>
      <w:r>
        <w:rPr>
          <w:rFonts w:hint="eastAsia" w:ascii="仿宋" w:hAnsi="仿宋" w:eastAsia="仿宋" w:cs="仿宋"/>
          <w:color w:val="212121"/>
          <w:sz w:val="24"/>
          <w:szCs w:val="24"/>
          <w:bdr w:val="none" w:color="auto" w:sz="0" w:space="0"/>
        </w:rPr>
        <w:br w:type="textWrapping"/>
      </w:r>
      <w:r>
        <w:rPr>
          <w:rFonts w:hint="eastAsia" w:ascii="仿宋" w:hAnsi="仿宋" w:eastAsia="仿宋" w:cs="仿宋"/>
          <w:color w:val="212121"/>
          <w:sz w:val="24"/>
          <w:szCs w:val="24"/>
          <w:bdr w:val="none" w:color="auto" w:sz="0" w:space="0"/>
        </w:rPr>
        <w:t>　　</w:t>
      </w:r>
      <w:r>
        <w:rPr>
          <w:rStyle w:val="4"/>
          <w:rFonts w:hint="eastAsia" w:ascii="仿宋" w:hAnsi="仿宋" w:eastAsia="仿宋" w:cs="仿宋"/>
          <w:color w:val="212121"/>
          <w:sz w:val="24"/>
          <w:szCs w:val="24"/>
          <w:bdr w:val="none" w:color="auto" w:sz="0" w:space="0"/>
        </w:rPr>
        <w:t>四、基准价</w:t>
      </w:r>
      <w:r>
        <w:rPr>
          <w:rFonts w:hint="eastAsia" w:ascii="仿宋" w:hAnsi="仿宋" w:eastAsia="仿宋" w:cs="仿宋"/>
          <w:color w:val="212121"/>
          <w:sz w:val="24"/>
          <w:szCs w:val="24"/>
          <w:bdr w:val="none" w:color="auto" w:sz="0" w:space="0"/>
        </w:rPr>
        <w:br w:type="textWrapping"/>
      </w:r>
      <w:r>
        <w:rPr>
          <w:rFonts w:hint="eastAsia" w:ascii="仿宋" w:hAnsi="仿宋" w:eastAsia="仿宋" w:cs="仿宋"/>
          <w:color w:val="212121"/>
          <w:sz w:val="24"/>
          <w:szCs w:val="24"/>
          <w:bdr w:val="none" w:color="auto" w:sz="0" w:space="0"/>
        </w:rPr>
        <w:t>　　由我所在上市前一交易日公布。</w:t>
      </w:r>
      <w:r>
        <w:rPr>
          <w:rFonts w:hint="eastAsia" w:ascii="仿宋" w:hAnsi="仿宋" w:eastAsia="仿宋" w:cs="仿宋"/>
          <w:color w:val="212121"/>
          <w:sz w:val="24"/>
          <w:szCs w:val="24"/>
          <w:bdr w:val="none" w:color="auto" w:sz="0" w:space="0"/>
        </w:rPr>
        <w:br w:type="textWrapping"/>
      </w:r>
      <w:r>
        <w:rPr>
          <w:rFonts w:hint="eastAsia" w:ascii="仿宋" w:hAnsi="仿宋" w:eastAsia="仿宋" w:cs="仿宋"/>
          <w:color w:val="212121"/>
          <w:sz w:val="24"/>
          <w:szCs w:val="24"/>
          <w:bdr w:val="none" w:color="auto" w:sz="0" w:space="0"/>
        </w:rPr>
        <w:t>　　计算公式为布莱克（BLACK）欧式期货期权定价模型，其中无风险利率取央行一年期存款利率，所有月份系列期权合约波动率取标的期货主力合约90天的历史波动率。</w:t>
      </w:r>
      <w:r>
        <w:rPr>
          <w:rFonts w:hint="eastAsia" w:ascii="仿宋" w:hAnsi="仿宋" w:eastAsia="仿宋" w:cs="仿宋"/>
          <w:color w:val="212121"/>
          <w:sz w:val="24"/>
          <w:szCs w:val="24"/>
          <w:bdr w:val="none" w:color="auto" w:sz="0" w:space="0"/>
        </w:rPr>
        <w:br w:type="textWrapping"/>
      </w:r>
      <w:r>
        <w:rPr>
          <w:rFonts w:hint="eastAsia" w:ascii="仿宋" w:hAnsi="仿宋" w:eastAsia="仿宋" w:cs="仿宋"/>
          <w:color w:val="212121"/>
          <w:sz w:val="24"/>
          <w:szCs w:val="24"/>
          <w:bdr w:val="none" w:color="auto" w:sz="0" w:space="0"/>
        </w:rPr>
        <w:t>　　</w:t>
      </w:r>
      <w:r>
        <w:rPr>
          <w:rStyle w:val="4"/>
          <w:rFonts w:hint="eastAsia" w:ascii="仿宋" w:hAnsi="仿宋" w:eastAsia="仿宋" w:cs="仿宋"/>
          <w:color w:val="212121"/>
          <w:sz w:val="24"/>
          <w:szCs w:val="24"/>
          <w:bdr w:val="none" w:color="auto" w:sz="0" w:space="0"/>
        </w:rPr>
        <w:t>五、每次最大下单数量</w:t>
      </w:r>
      <w:r>
        <w:rPr>
          <w:rFonts w:hint="eastAsia" w:ascii="仿宋" w:hAnsi="仿宋" w:eastAsia="仿宋" w:cs="仿宋"/>
          <w:color w:val="212121"/>
          <w:sz w:val="24"/>
          <w:szCs w:val="24"/>
          <w:bdr w:val="none" w:color="auto" w:sz="0" w:space="0"/>
        </w:rPr>
        <w:br w:type="textWrapping"/>
      </w:r>
      <w:r>
        <w:rPr>
          <w:rFonts w:hint="eastAsia" w:ascii="仿宋" w:hAnsi="仿宋" w:eastAsia="仿宋" w:cs="仿宋"/>
          <w:color w:val="212121"/>
          <w:sz w:val="24"/>
          <w:szCs w:val="24"/>
          <w:bdr w:val="none" w:color="auto" w:sz="0" w:space="0"/>
        </w:rPr>
        <w:t>　　100手。</w:t>
      </w:r>
      <w:r>
        <w:rPr>
          <w:rFonts w:hint="eastAsia" w:ascii="仿宋" w:hAnsi="仿宋" w:eastAsia="仿宋" w:cs="仿宋"/>
          <w:color w:val="212121"/>
          <w:sz w:val="24"/>
          <w:szCs w:val="24"/>
          <w:bdr w:val="none" w:color="auto" w:sz="0" w:space="0"/>
        </w:rPr>
        <w:br w:type="textWrapping"/>
      </w:r>
      <w:r>
        <w:rPr>
          <w:rFonts w:hint="eastAsia" w:ascii="仿宋" w:hAnsi="仿宋" w:eastAsia="仿宋" w:cs="仿宋"/>
          <w:color w:val="212121"/>
          <w:sz w:val="24"/>
          <w:szCs w:val="24"/>
          <w:bdr w:val="none" w:color="auto" w:sz="0" w:space="0"/>
        </w:rPr>
        <w:t>　　</w:t>
      </w:r>
      <w:r>
        <w:rPr>
          <w:rStyle w:val="4"/>
          <w:rFonts w:hint="eastAsia" w:ascii="仿宋" w:hAnsi="仿宋" w:eastAsia="仿宋" w:cs="仿宋"/>
          <w:color w:val="212121"/>
          <w:sz w:val="24"/>
          <w:szCs w:val="24"/>
          <w:bdr w:val="none" w:color="auto" w:sz="0" w:space="0"/>
        </w:rPr>
        <w:t>六、行权与履约</w:t>
      </w:r>
      <w:r>
        <w:rPr>
          <w:rStyle w:val="4"/>
          <w:rFonts w:hint="eastAsia" w:ascii="仿宋" w:hAnsi="仿宋" w:eastAsia="仿宋" w:cs="仿宋"/>
          <w:color w:val="212121"/>
          <w:sz w:val="24"/>
          <w:szCs w:val="24"/>
          <w:bdr w:val="none" w:color="auto" w:sz="0" w:space="0"/>
        </w:rPr>
        <w:br w:type="textWrapping"/>
      </w:r>
      <w:r>
        <w:rPr>
          <w:rFonts w:hint="eastAsia" w:ascii="仿宋" w:hAnsi="仿宋" w:eastAsia="仿宋" w:cs="仿宋"/>
          <w:color w:val="212121"/>
          <w:sz w:val="24"/>
          <w:szCs w:val="24"/>
          <w:bdr w:val="none" w:color="auto" w:sz="0" w:space="0"/>
        </w:rPr>
        <w:t>　　客户在期权合约到期日当天办理行权、放弃行权业务时间及渠道见下表：</w:t>
      </w:r>
    </w:p>
    <w:tbl>
      <w:tblPr>
        <w:tblW w:w="8521" w:type="dxa"/>
        <w:jc w:val="center"/>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935"/>
        <w:gridCol w:w="2609"/>
        <w:gridCol w:w="19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93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jc w:val="left"/>
              <w:rPr>
                <w:rFonts w:hint="eastAsia" w:ascii="仿宋" w:hAnsi="仿宋" w:eastAsia="仿宋" w:cs="仿宋"/>
                <w:color w:val="333333"/>
                <w:sz w:val="24"/>
                <w:szCs w:val="24"/>
              </w:rPr>
            </w:pPr>
            <w:r>
              <w:rPr>
                <w:rFonts w:hint="eastAsia" w:ascii="仿宋" w:hAnsi="仿宋" w:eastAsia="仿宋" w:cs="仿宋"/>
                <w:b/>
                <w:color w:val="333333"/>
                <w:kern w:val="0"/>
                <w:sz w:val="24"/>
                <w:szCs w:val="24"/>
                <w:bdr w:val="none" w:color="auto" w:sz="0" w:space="0"/>
                <w:lang w:val="en-US" w:eastAsia="zh-CN" w:bidi="ar"/>
              </w:rPr>
              <w:t>业务类型</w:t>
            </w:r>
          </w:p>
        </w:tc>
        <w:tc>
          <w:tcPr>
            <w:tcW w:w="260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jc w:val="left"/>
              <w:rPr>
                <w:rFonts w:hint="eastAsia" w:ascii="仿宋" w:hAnsi="仿宋" w:eastAsia="仿宋" w:cs="仿宋"/>
                <w:color w:val="333333"/>
                <w:sz w:val="24"/>
                <w:szCs w:val="24"/>
              </w:rPr>
            </w:pPr>
            <w:r>
              <w:rPr>
                <w:rFonts w:hint="eastAsia" w:ascii="仿宋" w:hAnsi="仿宋" w:eastAsia="仿宋" w:cs="仿宋"/>
                <w:b/>
                <w:color w:val="333333"/>
                <w:kern w:val="0"/>
                <w:sz w:val="24"/>
                <w:szCs w:val="24"/>
                <w:bdr w:val="none" w:color="auto" w:sz="0" w:space="0"/>
                <w:lang w:val="en-US" w:eastAsia="zh-CN" w:bidi="ar"/>
              </w:rPr>
              <w:t>申请时间</w:t>
            </w:r>
          </w:p>
        </w:tc>
        <w:tc>
          <w:tcPr>
            <w:tcW w:w="197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jc w:val="left"/>
              <w:rPr>
                <w:rFonts w:hint="eastAsia" w:ascii="仿宋" w:hAnsi="仿宋" w:eastAsia="仿宋" w:cs="仿宋"/>
                <w:color w:val="333333"/>
                <w:sz w:val="24"/>
                <w:szCs w:val="24"/>
              </w:rPr>
            </w:pPr>
            <w:r>
              <w:rPr>
                <w:rFonts w:hint="eastAsia" w:ascii="仿宋" w:hAnsi="仿宋" w:eastAsia="仿宋" w:cs="仿宋"/>
                <w:b/>
                <w:color w:val="333333"/>
                <w:kern w:val="0"/>
                <w:sz w:val="24"/>
                <w:szCs w:val="24"/>
                <w:bdr w:val="none" w:color="auto" w:sz="0" w:space="0"/>
                <w:lang w:val="en-US" w:eastAsia="zh-CN" w:bidi="ar"/>
              </w:rPr>
              <w:t>申请渠道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3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jc w:val="left"/>
              <w:rPr>
                <w:rFonts w:hint="eastAsia" w:ascii="仿宋" w:hAnsi="仿宋" w:eastAsia="仿宋" w:cs="仿宋"/>
                <w:color w:val="333333"/>
                <w:sz w:val="24"/>
                <w:szCs w:val="24"/>
              </w:rPr>
            </w:pPr>
            <w:r>
              <w:rPr>
                <w:rFonts w:hint="eastAsia" w:ascii="仿宋" w:hAnsi="仿宋" w:eastAsia="仿宋" w:cs="仿宋"/>
                <w:color w:val="333333"/>
                <w:kern w:val="0"/>
                <w:sz w:val="24"/>
                <w:szCs w:val="24"/>
                <w:bdr w:val="none" w:color="auto" w:sz="0" w:space="0"/>
                <w:lang w:val="en-US" w:eastAsia="zh-CN" w:bidi="ar"/>
              </w:rPr>
              <w:t>到期日提交行权申请</w:t>
            </w:r>
          </w:p>
        </w:tc>
        <w:tc>
          <w:tcPr>
            <w:tcW w:w="26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jc w:val="left"/>
              <w:rPr>
                <w:rFonts w:hint="eastAsia" w:ascii="仿宋" w:hAnsi="仿宋" w:eastAsia="仿宋" w:cs="仿宋"/>
                <w:color w:val="333333"/>
                <w:sz w:val="24"/>
                <w:szCs w:val="24"/>
              </w:rPr>
            </w:pPr>
            <w:r>
              <w:rPr>
                <w:rFonts w:hint="eastAsia" w:ascii="仿宋" w:hAnsi="仿宋" w:eastAsia="仿宋" w:cs="仿宋"/>
                <w:color w:val="333333"/>
                <w:kern w:val="0"/>
                <w:sz w:val="24"/>
                <w:szCs w:val="24"/>
                <w:bdr w:val="none" w:color="auto" w:sz="0" w:space="0"/>
                <w:lang w:val="en-US" w:eastAsia="zh-CN" w:bidi="ar"/>
              </w:rPr>
              <w:t>到期日15:30之前</w:t>
            </w:r>
          </w:p>
        </w:tc>
        <w:tc>
          <w:tcPr>
            <w:tcW w:w="19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jc w:val="left"/>
              <w:rPr>
                <w:rFonts w:hint="eastAsia" w:ascii="仿宋" w:hAnsi="仿宋" w:eastAsia="仿宋" w:cs="仿宋"/>
                <w:color w:val="333333"/>
                <w:sz w:val="24"/>
                <w:szCs w:val="24"/>
              </w:rPr>
            </w:pPr>
            <w:r>
              <w:rPr>
                <w:rFonts w:hint="eastAsia" w:ascii="仿宋" w:hAnsi="仿宋" w:eastAsia="仿宋" w:cs="仿宋"/>
                <w:color w:val="333333"/>
                <w:kern w:val="0"/>
                <w:sz w:val="24"/>
                <w:szCs w:val="24"/>
                <w:bdr w:val="none" w:color="auto" w:sz="0" w:space="0"/>
                <w:lang w:val="en-US" w:eastAsia="zh-CN" w:bidi="ar"/>
              </w:rPr>
              <w:t>交易终端及</w:t>
            </w:r>
          </w:p>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jc w:val="left"/>
              <w:rPr>
                <w:rFonts w:hint="eastAsia" w:ascii="仿宋" w:hAnsi="仿宋" w:eastAsia="仿宋" w:cs="仿宋"/>
                <w:color w:val="333333"/>
                <w:sz w:val="24"/>
                <w:szCs w:val="24"/>
              </w:rPr>
            </w:pPr>
            <w:r>
              <w:rPr>
                <w:rFonts w:hint="eastAsia" w:ascii="仿宋" w:hAnsi="仿宋" w:eastAsia="仿宋" w:cs="仿宋"/>
                <w:color w:val="333333"/>
                <w:kern w:val="0"/>
                <w:sz w:val="24"/>
                <w:szCs w:val="24"/>
                <w:bdr w:val="none" w:color="auto" w:sz="0" w:space="0"/>
                <w:lang w:val="en-US" w:eastAsia="zh-CN" w:bidi="ar"/>
              </w:rPr>
              <w:t>会员服务系统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3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jc w:val="left"/>
              <w:rPr>
                <w:rFonts w:hint="eastAsia" w:ascii="仿宋" w:hAnsi="仿宋" w:eastAsia="仿宋" w:cs="仿宋"/>
                <w:color w:val="333333"/>
                <w:sz w:val="24"/>
                <w:szCs w:val="24"/>
              </w:rPr>
            </w:pPr>
            <w:r>
              <w:rPr>
                <w:rFonts w:hint="eastAsia" w:ascii="仿宋" w:hAnsi="仿宋" w:eastAsia="仿宋" w:cs="仿宋"/>
                <w:color w:val="333333"/>
                <w:kern w:val="0"/>
                <w:sz w:val="24"/>
                <w:szCs w:val="24"/>
                <w:bdr w:val="none" w:color="auto" w:sz="0" w:space="0"/>
                <w:lang w:val="en-US" w:eastAsia="zh-CN" w:bidi="ar"/>
              </w:rPr>
              <w:t>到期日提交放弃申请</w:t>
            </w:r>
          </w:p>
        </w:tc>
        <w:tc>
          <w:tcPr>
            <w:tcW w:w="26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jc w:val="left"/>
              <w:rPr>
                <w:rFonts w:hint="eastAsia" w:ascii="仿宋" w:hAnsi="仿宋" w:eastAsia="仿宋" w:cs="仿宋"/>
                <w:color w:val="333333"/>
                <w:sz w:val="24"/>
                <w:szCs w:val="24"/>
              </w:rPr>
            </w:pPr>
            <w:r>
              <w:rPr>
                <w:rFonts w:hint="eastAsia" w:ascii="仿宋" w:hAnsi="仿宋" w:eastAsia="仿宋" w:cs="仿宋"/>
                <w:color w:val="333333"/>
                <w:kern w:val="0"/>
                <w:sz w:val="24"/>
                <w:szCs w:val="24"/>
                <w:bdr w:val="none" w:color="auto" w:sz="0" w:space="0"/>
                <w:lang w:val="en-US" w:eastAsia="zh-CN" w:bidi="ar"/>
              </w:rPr>
              <w:t>到期日15:30之前</w:t>
            </w:r>
          </w:p>
        </w:tc>
        <w:tc>
          <w:tcPr>
            <w:tcW w:w="19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jc w:val="left"/>
              <w:rPr>
                <w:rFonts w:hint="eastAsia" w:ascii="仿宋" w:hAnsi="仿宋" w:eastAsia="仿宋" w:cs="仿宋"/>
                <w:color w:val="333333"/>
                <w:sz w:val="24"/>
                <w:szCs w:val="24"/>
              </w:rPr>
            </w:pPr>
            <w:r>
              <w:rPr>
                <w:rFonts w:hint="eastAsia" w:ascii="仿宋" w:hAnsi="仿宋" w:eastAsia="仿宋" w:cs="仿宋"/>
                <w:color w:val="333333"/>
                <w:kern w:val="0"/>
                <w:sz w:val="24"/>
                <w:szCs w:val="24"/>
                <w:bdr w:val="none" w:color="auto" w:sz="0" w:space="0"/>
                <w:lang w:val="en-US" w:eastAsia="zh-CN" w:bidi="ar"/>
              </w:rPr>
              <w:t>交易终端及</w:t>
            </w:r>
          </w:p>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jc w:val="left"/>
              <w:rPr>
                <w:rFonts w:hint="eastAsia" w:ascii="仿宋" w:hAnsi="仿宋" w:eastAsia="仿宋" w:cs="仿宋"/>
                <w:color w:val="333333"/>
                <w:sz w:val="24"/>
                <w:szCs w:val="24"/>
              </w:rPr>
            </w:pPr>
            <w:r>
              <w:rPr>
                <w:rFonts w:hint="eastAsia" w:ascii="仿宋" w:hAnsi="仿宋" w:eastAsia="仿宋" w:cs="仿宋"/>
                <w:color w:val="333333"/>
                <w:kern w:val="0"/>
                <w:sz w:val="24"/>
                <w:szCs w:val="24"/>
                <w:bdr w:val="none" w:color="auto" w:sz="0" w:space="0"/>
                <w:lang w:val="en-US" w:eastAsia="zh-CN" w:bidi="ar"/>
              </w:rPr>
              <w:t>会员服务系统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3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jc w:val="left"/>
              <w:rPr>
                <w:rFonts w:hint="eastAsia" w:ascii="仿宋" w:hAnsi="仿宋" w:eastAsia="仿宋" w:cs="仿宋"/>
                <w:color w:val="333333"/>
                <w:sz w:val="24"/>
                <w:szCs w:val="24"/>
              </w:rPr>
            </w:pPr>
            <w:r>
              <w:rPr>
                <w:rFonts w:hint="eastAsia" w:ascii="仿宋" w:hAnsi="仿宋" w:eastAsia="仿宋" w:cs="仿宋"/>
                <w:color w:val="333333"/>
                <w:kern w:val="0"/>
                <w:sz w:val="24"/>
                <w:szCs w:val="24"/>
                <w:bdr w:val="none" w:color="auto" w:sz="0" w:space="0"/>
                <w:lang w:val="en-US" w:eastAsia="zh-CN" w:bidi="ar"/>
              </w:rPr>
              <w:t>行权前双向期权持仓对冲平仓申请</w:t>
            </w:r>
          </w:p>
        </w:tc>
        <w:tc>
          <w:tcPr>
            <w:tcW w:w="26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jc w:val="left"/>
              <w:rPr>
                <w:rFonts w:hint="eastAsia" w:ascii="仿宋" w:hAnsi="仿宋" w:eastAsia="仿宋" w:cs="仿宋"/>
                <w:color w:val="333333"/>
                <w:sz w:val="24"/>
                <w:szCs w:val="24"/>
              </w:rPr>
            </w:pPr>
            <w:r>
              <w:rPr>
                <w:rFonts w:hint="eastAsia" w:ascii="仿宋" w:hAnsi="仿宋" w:eastAsia="仿宋" w:cs="仿宋"/>
                <w:color w:val="333333"/>
                <w:kern w:val="0"/>
                <w:sz w:val="24"/>
                <w:szCs w:val="24"/>
                <w:bdr w:val="none" w:color="auto" w:sz="0" w:space="0"/>
                <w:lang w:val="en-US" w:eastAsia="zh-CN" w:bidi="ar"/>
              </w:rPr>
              <w:t>到期日15:30之前</w:t>
            </w:r>
          </w:p>
        </w:tc>
        <w:tc>
          <w:tcPr>
            <w:tcW w:w="19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jc w:val="left"/>
              <w:rPr>
                <w:rFonts w:hint="eastAsia" w:ascii="仿宋" w:hAnsi="仿宋" w:eastAsia="仿宋" w:cs="仿宋"/>
                <w:color w:val="333333"/>
                <w:sz w:val="24"/>
                <w:szCs w:val="24"/>
              </w:rPr>
            </w:pPr>
            <w:r>
              <w:rPr>
                <w:rFonts w:hint="eastAsia" w:ascii="仿宋" w:hAnsi="仿宋" w:eastAsia="仿宋" w:cs="仿宋"/>
                <w:color w:val="333333"/>
                <w:kern w:val="0"/>
                <w:sz w:val="24"/>
                <w:szCs w:val="24"/>
                <w:bdr w:val="none" w:color="auto" w:sz="0" w:space="0"/>
                <w:lang w:val="en-US" w:eastAsia="zh-CN" w:bidi="ar"/>
              </w:rPr>
              <w:t>交易终端及</w:t>
            </w:r>
          </w:p>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jc w:val="left"/>
              <w:rPr>
                <w:rFonts w:hint="eastAsia" w:ascii="仿宋" w:hAnsi="仿宋" w:eastAsia="仿宋" w:cs="仿宋"/>
                <w:color w:val="333333"/>
                <w:sz w:val="24"/>
                <w:szCs w:val="24"/>
              </w:rPr>
            </w:pPr>
            <w:r>
              <w:rPr>
                <w:rFonts w:hint="eastAsia" w:ascii="仿宋" w:hAnsi="仿宋" w:eastAsia="仿宋" w:cs="仿宋"/>
                <w:color w:val="333333"/>
                <w:kern w:val="0"/>
                <w:sz w:val="24"/>
                <w:szCs w:val="24"/>
                <w:bdr w:val="none" w:color="auto" w:sz="0" w:space="0"/>
                <w:lang w:val="en-US" w:eastAsia="zh-CN" w:bidi="ar"/>
              </w:rPr>
              <w:t>会员服务系统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3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jc w:val="left"/>
              <w:rPr>
                <w:rFonts w:hint="eastAsia" w:ascii="仿宋" w:hAnsi="仿宋" w:eastAsia="仿宋" w:cs="仿宋"/>
                <w:color w:val="333333"/>
                <w:sz w:val="24"/>
                <w:szCs w:val="24"/>
              </w:rPr>
            </w:pPr>
            <w:r>
              <w:rPr>
                <w:rFonts w:hint="eastAsia" w:ascii="仿宋" w:hAnsi="仿宋" w:eastAsia="仿宋" w:cs="仿宋"/>
                <w:color w:val="333333"/>
                <w:kern w:val="0"/>
                <w:sz w:val="24"/>
                <w:szCs w:val="24"/>
                <w:bdr w:val="none" w:color="auto" w:sz="0" w:space="0"/>
                <w:lang w:val="en-US" w:eastAsia="zh-CN" w:bidi="ar"/>
              </w:rPr>
              <w:t>行权后双向期货持仓对冲平仓申请</w:t>
            </w:r>
          </w:p>
        </w:tc>
        <w:tc>
          <w:tcPr>
            <w:tcW w:w="26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jc w:val="left"/>
              <w:rPr>
                <w:rFonts w:hint="eastAsia" w:ascii="仿宋" w:hAnsi="仿宋" w:eastAsia="仿宋" w:cs="仿宋"/>
                <w:color w:val="333333"/>
                <w:sz w:val="24"/>
                <w:szCs w:val="24"/>
              </w:rPr>
            </w:pPr>
            <w:r>
              <w:rPr>
                <w:rFonts w:hint="eastAsia" w:ascii="仿宋" w:hAnsi="仿宋" w:eastAsia="仿宋" w:cs="仿宋"/>
                <w:color w:val="333333"/>
                <w:kern w:val="0"/>
                <w:sz w:val="24"/>
                <w:szCs w:val="24"/>
                <w:bdr w:val="none" w:color="auto" w:sz="0" w:space="0"/>
                <w:lang w:val="en-US" w:eastAsia="zh-CN" w:bidi="ar"/>
              </w:rPr>
              <w:t>到期日15:30之前</w:t>
            </w:r>
          </w:p>
        </w:tc>
        <w:tc>
          <w:tcPr>
            <w:tcW w:w="19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jc w:val="left"/>
              <w:rPr>
                <w:rFonts w:hint="eastAsia" w:ascii="仿宋" w:hAnsi="仿宋" w:eastAsia="仿宋" w:cs="仿宋"/>
                <w:color w:val="333333"/>
                <w:sz w:val="24"/>
                <w:szCs w:val="24"/>
              </w:rPr>
            </w:pPr>
            <w:r>
              <w:rPr>
                <w:rFonts w:hint="eastAsia" w:ascii="仿宋" w:hAnsi="仿宋" w:eastAsia="仿宋" w:cs="仿宋"/>
                <w:color w:val="333333"/>
                <w:kern w:val="0"/>
                <w:sz w:val="24"/>
                <w:szCs w:val="24"/>
                <w:bdr w:val="none" w:color="auto" w:sz="0" w:space="0"/>
                <w:lang w:val="en-US" w:eastAsia="zh-CN" w:bidi="ar"/>
              </w:rPr>
              <w:t>交易终端及</w:t>
            </w:r>
          </w:p>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jc w:val="left"/>
              <w:rPr>
                <w:rFonts w:hint="eastAsia" w:ascii="仿宋" w:hAnsi="仿宋" w:eastAsia="仿宋" w:cs="仿宋"/>
                <w:color w:val="333333"/>
                <w:sz w:val="24"/>
                <w:szCs w:val="24"/>
              </w:rPr>
            </w:pPr>
            <w:r>
              <w:rPr>
                <w:rFonts w:hint="eastAsia" w:ascii="仿宋" w:hAnsi="仿宋" w:eastAsia="仿宋" w:cs="仿宋"/>
                <w:color w:val="333333"/>
                <w:kern w:val="0"/>
                <w:sz w:val="24"/>
                <w:szCs w:val="24"/>
                <w:bdr w:val="none" w:color="auto" w:sz="0" w:space="0"/>
                <w:lang w:val="en-US" w:eastAsia="zh-CN" w:bidi="ar"/>
              </w:rPr>
              <w:t>会员服务系统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 w:hRule="atLeast"/>
          <w:jc w:val="center"/>
        </w:trPr>
        <w:tc>
          <w:tcPr>
            <w:tcW w:w="393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jc w:val="left"/>
              <w:rPr>
                <w:rFonts w:hint="eastAsia" w:ascii="仿宋" w:hAnsi="仿宋" w:eastAsia="仿宋" w:cs="仿宋"/>
                <w:color w:val="333333"/>
                <w:sz w:val="24"/>
                <w:szCs w:val="24"/>
              </w:rPr>
            </w:pPr>
            <w:r>
              <w:rPr>
                <w:rFonts w:hint="eastAsia" w:ascii="仿宋" w:hAnsi="仿宋" w:eastAsia="仿宋" w:cs="仿宋"/>
                <w:color w:val="333333"/>
                <w:kern w:val="0"/>
                <w:sz w:val="24"/>
                <w:szCs w:val="24"/>
                <w:bdr w:val="none" w:color="auto" w:sz="0" w:space="0"/>
                <w:lang w:val="en-US" w:eastAsia="zh-CN" w:bidi="ar"/>
              </w:rPr>
              <w:t>履约后双向期货持仓对冲平仓申请</w:t>
            </w:r>
          </w:p>
        </w:tc>
        <w:tc>
          <w:tcPr>
            <w:tcW w:w="26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jc w:val="left"/>
              <w:rPr>
                <w:rFonts w:hint="eastAsia" w:ascii="仿宋" w:hAnsi="仿宋" w:eastAsia="仿宋" w:cs="仿宋"/>
                <w:color w:val="333333"/>
                <w:sz w:val="24"/>
                <w:szCs w:val="24"/>
              </w:rPr>
            </w:pPr>
            <w:r>
              <w:rPr>
                <w:rFonts w:hint="eastAsia" w:ascii="仿宋" w:hAnsi="仿宋" w:eastAsia="仿宋" w:cs="仿宋"/>
                <w:color w:val="333333"/>
                <w:kern w:val="0"/>
                <w:sz w:val="24"/>
                <w:szCs w:val="24"/>
                <w:bdr w:val="none" w:color="auto" w:sz="0" w:space="0"/>
                <w:lang w:val="en-US" w:eastAsia="zh-CN" w:bidi="ar"/>
              </w:rPr>
              <w:t>到期日15:30之前</w:t>
            </w:r>
          </w:p>
        </w:tc>
        <w:tc>
          <w:tcPr>
            <w:tcW w:w="19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jc w:val="left"/>
              <w:rPr>
                <w:rFonts w:hint="eastAsia" w:ascii="仿宋" w:hAnsi="仿宋" w:eastAsia="仿宋" w:cs="仿宋"/>
                <w:color w:val="333333"/>
                <w:sz w:val="24"/>
                <w:szCs w:val="24"/>
              </w:rPr>
            </w:pPr>
            <w:r>
              <w:rPr>
                <w:rFonts w:hint="eastAsia" w:ascii="仿宋" w:hAnsi="仿宋" w:eastAsia="仿宋" w:cs="仿宋"/>
                <w:color w:val="333333"/>
                <w:kern w:val="0"/>
                <w:sz w:val="24"/>
                <w:szCs w:val="24"/>
                <w:bdr w:val="none" w:color="auto" w:sz="0" w:space="0"/>
                <w:lang w:val="en-US" w:eastAsia="zh-CN" w:bidi="ar"/>
              </w:rPr>
              <w:t>交易终端及</w:t>
            </w:r>
          </w:p>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jc w:val="left"/>
              <w:rPr>
                <w:rFonts w:hint="eastAsia" w:ascii="仿宋" w:hAnsi="仿宋" w:eastAsia="仿宋" w:cs="仿宋"/>
                <w:color w:val="333333"/>
                <w:sz w:val="24"/>
                <w:szCs w:val="24"/>
              </w:rPr>
            </w:pPr>
            <w:r>
              <w:rPr>
                <w:rFonts w:hint="eastAsia" w:ascii="仿宋" w:hAnsi="仿宋" w:eastAsia="仿宋" w:cs="仿宋"/>
                <w:color w:val="333333"/>
                <w:kern w:val="0"/>
                <w:sz w:val="24"/>
                <w:szCs w:val="24"/>
                <w:bdr w:val="none" w:color="auto" w:sz="0" w:space="0"/>
                <w:lang w:val="en-US" w:eastAsia="zh-CN" w:bidi="ar"/>
              </w:rPr>
              <w:t>会员服务系统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 w:hRule="atLeast"/>
          <w:jc w:val="center"/>
        </w:trPr>
        <w:tc>
          <w:tcPr>
            <w:tcW w:w="393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jc w:val="left"/>
              <w:rPr>
                <w:rFonts w:hint="eastAsia" w:ascii="仿宋" w:hAnsi="仿宋" w:eastAsia="仿宋" w:cs="仿宋"/>
                <w:color w:val="333333"/>
                <w:sz w:val="24"/>
                <w:szCs w:val="24"/>
              </w:rPr>
            </w:pPr>
            <w:r>
              <w:rPr>
                <w:rFonts w:hint="eastAsia" w:ascii="仿宋" w:hAnsi="仿宋" w:eastAsia="仿宋" w:cs="仿宋"/>
                <w:color w:val="333333"/>
                <w:kern w:val="0"/>
                <w:sz w:val="24"/>
                <w:szCs w:val="24"/>
                <w:bdr w:val="none" w:color="auto" w:sz="0" w:space="0"/>
                <w:lang w:val="en-US" w:eastAsia="zh-CN" w:bidi="ar"/>
              </w:rPr>
              <w:t>做市商期权持仓不自对冲申请</w:t>
            </w:r>
          </w:p>
        </w:tc>
        <w:tc>
          <w:tcPr>
            <w:tcW w:w="26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jc w:val="left"/>
              <w:rPr>
                <w:rFonts w:hint="eastAsia" w:ascii="仿宋" w:hAnsi="仿宋" w:eastAsia="仿宋" w:cs="仿宋"/>
                <w:color w:val="333333"/>
                <w:sz w:val="24"/>
                <w:szCs w:val="24"/>
              </w:rPr>
            </w:pPr>
            <w:r>
              <w:rPr>
                <w:rFonts w:hint="eastAsia" w:ascii="仿宋" w:hAnsi="仿宋" w:eastAsia="仿宋" w:cs="仿宋"/>
                <w:color w:val="333333"/>
                <w:kern w:val="0"/>
                <w:sz w:val="24"/>
                <w:szCs w:val="24"/>
                <w:bdr w:val="none" w:color="auto" w:sz="0" w:space="0"/>
                <w:lang w:val="en-US" w:eastAsia="zh-CN" w:bidi="ar"/>
              </w:rPr>
              <w:t>非到期日15:00之前</w:t>
            </w:r>
          </w:p>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jc w:val="left"/>
              <w:rPr>
                <w:rFonts w:hint="eastAsia" w:ascii="仿宋" w:hAnsi="仿宋" w:eastAsia="仿宋" w:cs="仿宋"/>
                <w:color w:val="333333"/>
                <w:sz w:val="24"/>
                <w:szCs w:val="24"/>
              </w:rPr>
            </w:pPr>
            <w:r>
              <w:rPr>
                <w:rFonts w:hint="eastAsia" w:ascii="仿宋" w:hAnsi="仿宋" w:eastAsia="仿宋" w:cs="仿宋"/>
                <w:color w:val="333333"/>
                <w:kern w:val="0"/>
                <w:sz w:val="24"/>
                <w:szCs w:val="24"/>
                <w:bdr w:val="none" w:color="auto" w:sz="0" w:space="0"/>
                <w:lang w:val="en-US" w:eastAsia="zh-CN" w:bidi="ar"/>
              </w:rPr>
              <w:t>到期日15:30之前</w:t>
            </w:r>
          </w:p>
        </w:tc>
        <w:tc>
          <w:tcPr>
            <w:tcW w:w="19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jc w:val="left"/>
              <w:rPr>
                <w:rFonts w:hint="eastAsia" w:ascii="仿宋" w:hAnsi="仿宋" w:eastAsia="仿宋" w:cs="仿宋"/>
                <w:color w:val="333333"/>
                <w:sz w:val="24"/>
                <w:szCs w:val="24"/>
              </w:rPr>
            </w:pPr>
            <w:r>
              <w:rPr>
                <w:rFonts w:hint="eastAsia" w:ascii="仿宋" w:hAnsi="仿宋" w:eastAsia="仿宋" w:cs="仿宋"/>
                <w:color w:val="333333"/>
                <w:kern w:val="0"/>
                <w:sz w:val="24"/>
                <w:szCs w:val="24"/>
                <w:bdr w:val="none" w:color="auto" w:sz="0" w:space="0"/>
                <w:lang w:val="en-US" w:eastAsia="zh-CN" w:bidi="ar"/>
              </w:rPr>
              <w:t>交易终端及</w:t>
            </w:r>
          </w:p>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jc w:val="left"/>
              <w:rPr>
                <w:rFonts w:hint="eastAsia" w:ascii="仿宋" w:hAnsi="仿宋" w:eastAsia="仿宋" w:cs="仿宋"/>
                <w:color w:val="333333"/>
                <w:sz w:val="24"/>
                <w:szCs w:val="24"/>
              </w:rPr>
            </w:pPr>
            <w:r>
              <w:rPr>
                <w:rFonts w:hint="eastAsia" w:ascii="仿宋" w:hAnsi="仿宋" w:eastAsia="仿宋" w:cs="仿宋"/>
                <w:color w:val="333333"/>
                <w:kern w:val="0"/>
                <w:sz w:val="24"/>
                <w:szCs w:val="24"/>
                <w:bdr w:val="none" w:color="auto" w:sz="0" w:space="0"/>
                <w:lang w:val="en-US" w:eastAsia="zh-CN" w:bidi="ar"/>
              </w:rPr>
              <w:t>会员服务系统</w:t>
            </w:r>
          </w:p>
        </w:tc>
      </w:tr>
    </w:tbl>
    <w:p>
      <w:pPr>
        <w:pStyle w:val="2"/>
        <w:keepNext w:val="0"/>
        <w:keepLines w:val="0"/>
        <w:widowControl/>
        <w:suppressLineNumbers w:val="0"/>
        <w:spacing w:before="76" w:beforeAutospacing="0" w:after="210" w:afterAutospacing="0" w:line="360" w:lineRule="atLeast"/>
        <w:ind w:left="0" w:right="0"/>
        <w:jc w:val="left"/>
        <w:rPr>
          <w:rFonts w:hint="eastAsia" w:ascii="仿宋" w:hAnsi="仿宋" w:eastAsia="仿宋" w:cs="仿宋"/>
          <w:sz w:val="24"/>
          <w:szCs w:val="24"/>
        </w:rPr>
      </w:pPr>
      <w:r>
        <w:rPr>
          <w:rFonts w:hint="eastAsia" w:ascii="仿宋" w:hAnsi="仿宋" w:eastAsia="仿宋" w:cs="仿宋"/>
          <w:color w:val="212121"/>
          <w:sz w:val="24"/>
          <w:szCs w:val="24"/>
          <w:bdr w:val="none" w:color="auto" w:sz="0" w:space="0"/>
        </w:rPr>
        <w:t>　　</w:t>
      </w:r>
      <w:r>
        <w:rPr>
          <w:rStyle w:val="4"/>
          <w:rFonts w:hint="eastAsia" w:ascii="仿宋" w:hAnsi="仿宋" w:eastAsia="仿宋" w:cs="仿宋"/>
          <w:color w:val="212121"/>
          <w:sz w:val="24"/>
          <w:szCs w:val="24"/>
          <w:bdr w:val="none" w:color="auto" w:sz="0" w:space="0"/>
        </w:rPr>
        <w:t>七、持仓限额管理</w:t>
      </w:r>
      <w:r>
        <w:rPr>
          <w:rStyle w:val="4"/>
          <w:rFonts w:hint="eastAsia" w:ascii="仿宋" w:hAnsi="仿宋" w:eastAsia="仿宋" w:cs="仿宋"/>
          <w:color w:val="212121"/>
          <w:sz w:val="24"/>
          <w:szCs w:val="24"/>
          <w:bdr w:val="none" w:color="auto" w:sz="0" w:space="0"/>
        </w:rPr>
        <w:br w:type="textWrapping"/>
      </w:r>
      <w:r>
        <w:rPr>
          <w:rFonts w:hint="eastAsia" w:ascii="仿宋" w:hAnsi="仿宋" w:eastAsia="仿宋" w:cs="仿宋"/>
          <w:color w:val="212121"/>
          <w:sz w:val="24"/>
          <w:szCs w:val="24"/>
          <w:bdr w:val="none" w:color="auto" w:sz="0" w:space="0"/>
        </w:rPr>
        <w:t>　　期权合约与期货合约分开限仓。</w:t>
      </w:r>
      <w:r>
        <w:rPr>
          <w:rFonts w:hint="eastAsia" w:ascii="仿宋" w:hAnsi="仿宋" w:eastAsia="仿宋" w:cs="仿宋"/>
          <w:color w:val="212121"/>
          <w:sz w:val="24"/>
          <w:szCs w:val="24"/>
          <w:bdr w:val="none" w:color="auto" w:sz="0" w:space="0"/>
        </w:rPr>
        <w:br w:type="textWrapping"/>
      </w:r>
      <w:r>
        <w:rPr>
          <w:rFonts w:hint="eastAsia" w:ascii="仿宋" w:hAnsi="仿宋" w:eastAsia="仿宋" w:cs="仿宋"/>
          <w:color w:val="212121"/>
          <w:sz w:val="24"/>
          <w:szCs w:val="24"/>
          <w:bdr w:val="none" w:color="auto" w:sz="0" w:space="0"/>
        </w:rPr>
        <w:t>　　非期货公司会员和客户持有的某月份期权合约所有看涨期权的买持仓量和看跌期权的卖持仓量之和、看跌期权的买持仓量和看涨期权的卖持仓量之和，分别不得超过如下表所示的持仓限额。</w:t>
      </w:r>
      <w:r>
        <w:rPr>
          <w:rFonts w:hint="eastAsia" w:ascii="仿宋" w:hAnsi="仿宋" w:eastAsia="仿宋" w:cs="仿宋"/>
          <w:color w:val="212121"/>
          <w:sz w:val="24"/>
          <w:szCs w:val="24"/>
          <w:bdr w:val="none" w:color="auto" w:sz="0" w:space="0"/>
        </w:rPr>
        <w:br w:type="textWrapping"/>
      </w:r>
      <w:r>
        <w:rPr>
          <w:rFonts w:hint="eastAsia" w:ascii="仿宋" w:hAnsi="仿宋" w:eastAsia="仿宋" w:cs="仿宋"/>
          <w:color w:val="212121"/>
          <w:sz w:val="24"/>
          <w:szCs w:val="24"/>
          <w:bdr w:val="none" w:color="auto" w:sz="0" w:space="0"/>
        </w:rPr>
        <w:t>　　具有实际控制关系的账户按照同一个账户管理。</w:t>
      </w:r>
    </w:p>
    <w:tbl>
      <w:tblPr>
        <w:tblW w:w="8520" w:type="dxa"/>
        <w:jc w:val="center"/>
        <w:tblInd w:w="1" w:type="dxa"/>
        <w:shd w:val="clear"/>
        <w:tblLayout w:type="fixed"/>
        <w:tblCellMar>
          <w:top w:w="0" w:type="dxa"/>
          <w:left w:w="0" w:type="dxa"/>
          <w:bottom w:w="0" w:type="dxa"/>
          <w:right w:w="0" w:type="dxa"/>
        </w:tblCellMar>
      </w:tblPr>
      <w:tblGrid>
        <w:gridCol w:w="1994"/>
        <w:gridCol w:w="947"/>
        <w:gridCol w:w="1559"/>
        <w:gridCol w:w="2127"/>
        <w:gridCol w:w="707"/>
        <w:gridCol w:w="1186"/>
      </w:tblGrid>
      <w:tr>
        <w:tblPrEx>
          <w:shd w:val="clear"/>
          <w:tblLayout w:type="fixed"/>
          <w:tblCellMar>
            <w:top w:w="0" w:type="dxa"/>
            <w:left w:w="0" w:type="dxa"/>
            <w:bottom w:w="0" w:type="dxa"/>
            <w:right w:w="0" w:type="dxa"/>
          </w:tblCellMar>
        </w:tblPrEx>
        <w:trPr>
          <w:trHeight w:val="699" w:hRule="atLeast"/>
          <w:jc w:val="center"/>
        </w:trPr>
        <w:tc>
          <w:tcPr>
            <w:tcW w:w="4500" w:type="dxa"/>
            <w:gridSpan w:val="3"/>
            <w:tcBorders>
              <w:top w:val="single" w:color="auto" w:sz="8" w:space="0"/>
              <w:left w:val="single" w:color="auto" w:sz="8" w:space="0"/>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bdr w:val="none" w:color="auto" w:sz="0" w:space="0"/>
                <w:lang w:val="en-US" w:eastAsia="zh-CN" w:bidi="ar"/>
              </w:rPr>
              <w:t>标的期货合约挂牌至交割月份前第二月</w:t>
            </w:r>
          </w:p>
        </w:tc>
        <w:tc>
          <w:tcPr>
            <w:tcW w:w="4020" w:type="dxa"/>
            <w:gridSpan w:val="3"/>
            <w:tcBorders>
              <w:top w:val="single" w:color="auto" w:sz="8" w:space="0"/>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bdr w:val="none" w:color="auto" w:sz="0" w:space="0"/>
                <w:lang w:val="en-US" w:eastAsia="zh-CN" w:bidi="ar"/>
              </w:rPr>
              <w:t>标的期货合约交割月前第一月</w:t>
            </w:r>
          </w:p>
        </w:tc>
      </w:tr>
      <w:tr>
        <w:tblPrEx>
          <w:tblLayout w:type="fixed"/>
          <w:tblCellMar>
            <w:top w:w="0" w:type="dxa"/>
            <w:left w:w="0" w:type="dxa"/>
            <w:bottom w:w="0" w:type="dxa"/>
            <w:right w:w="0" w:type="dxa"/>
          </w:tblCellMar>
        </w:tblPrEx>
        <w:trPr>
          <w:trHeight w:val="399" w:hRule="atLeast"/>
          <w:jc w:val="center"/>
        </w:trPr>
        <w:tc>
          <w:tcPr>
            <w:tcW w:w="4500" w:type="dxa"/>
            <w:gridSpan w:val="3"/>
            <w:tcBorders>
              <w:top w:val="single" w:color="auto" w:sz="8" w:space="0"/>
              <w:left w:val="single" w:color="auto" w:sz="8" w:space="0"/>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bdr w:val="none" w:color="auto" w:sz="0" w:space="0"/>
                <w:lang w:val="en-US" w:eastAsia="zh-CN" w:bidi="ar"/>
              </w:rPr>
              <w:t>限仓数额（手，单边）</w:t>
            </w:r>
          </w:p>
        </w:tc>
        <w:tc>
          <w:tcPr>
            <w:tcW w:w="4020"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bdr w:val="none" w:color="auto" w:sz="0" w:space="0"/>
                <w:lang w:val="en-US" w:eastAsia="zh-CN" w:bidi="ar"/>
              </w:rPr>
              <w:t>限仓数额（手，单边）</w:t>
            </w:r>
          </w:p>
        </w:tc>
      </w:tr>
      <w:tr>
        <w:tblPrEx>
          <w:tblLayout w:type="fixed"/>
          <w:tblCellMar>
            <w:top w:w="0" w:type="dxa"/>
            <w:left w:w="0" w:type="dxa"/>
            <w:bottom w:w="0" w:type="dxa"/>
            <w:right w:w="0" w:type="dxa"/>
          </w:tblCellMar>
        </w:tblPrEx>
        <w:trPr>
          <w:trHeight w:val="54" w:hRule="atLeast"/>
          <w:jc w:val="center"/>
        </w:trPr>
        <w:tc>
          <w:tcPr>
            <w:tcW w:w="19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bdr w:val="none" w:color="auto" w:sz="0" w:space="0"/>
                <w:lang w:val="en-US" w:eastAsia="zh-CN" w:bidi="ar"/>
              </w:rPr>
              <w:t>非期货公司会员</w:t>
            </w:r>
          </w:p>
        </w:tc>
        <w:tc>
          <w:tcPr>
            <w:tcW w:w="9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bdr w:val="none" w:color="auto" w:sz="0" w:space="0"/>
                <w:lang w:val="en-US" w:eastAsia="zh-CN" w:bidi="ar"/>
              </w:rPr>
              <w:t>客户</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bdr w:val="none" w:color="auto" w:sz="0" w:space="0"/>
                <w:lang w:val="en-US" w:eastAsia="zh-CN" w:bidi="ar"/>
              </w:rPr>
              <w:t>做市商</w:t>
            </w:r>
          </w:p>
        </w:tc>
        <w:tc>
          <w:tcPr>
            <w:tcW w:w="2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bdr w:val="none" w:color="auto" w:sz="0" w:space="0"/>
                <w:lang w:val="en-US" w:eastAsia="zh-CN" w:bidi="ar"/>
              </w:rPr>
              <w:t>非期货公司会员</w:t>
            </w:r>
          </w:p>
        </w:tc>
        <w:tc>
          <w:tcPr>
            <w:tcW w:w="7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bdr w:val="none" w:color="auto" w:sz="0" w:space="0"/>
                <w:lang w:val="en-US" w:eastAsia="zh-CN" w:bidi="ar"/>
              </w:rPr>
              <w:t>客户</w:t>
            </w:r>
          </w:p>
        </w:tc>
        <w:tc>
          <w:tcPr>
            <w:tcW w:w="11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bdr w:val="none" w:color="auto" w:sz="0" w:space="0"/>
                <w:lang w:val="en-US" w:eastAsia="zh-CN" w:bidi="ar"/>
              </w:rPr>
              <w:t>做市商</w:t>
            </w:r>
          </w:p>
        </w:tc>
      </w:tr>
      <w:tr>
        <w:tblPrEx>
          <w:tblLayout w:type="fixed"/>
          <w:tblCellMar>
            <w:top w:w="0" w:type="dxa"/>
            <w:left w:w="0" w:type="dxa"/>
            <w:bottom w:w="0" w:type="dxa"/>
            <w:right w:w="0" w:type="dxa"/>
          </w:tblCellMar>
        </w:tblPrEx>
        <w:trPr>
          <w:trHeight w:val="55" w:hRule="atLeast"/>
          <w:jc w:val="center"/>
        </w:trPr>
        <w:tc>
          <w:tcPr>
            <w:tcW w:w="19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bdr w:val="none" w:color="auto" w:sz="0" w:space="0"/>
                <w:lang w:val="en-US" w:eastAsia="zh-CN" w:bidi="ar"/>
              </w:rPr>
              <w:t>6000</w:t>
            </w:r>
          </w:p>
        </w:tc>
        <w:tc>
          <w:tcPr>
            <w:tcW w:w="9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bdr w:val="none" w:color="auto" w:sz="0" w:space="0"/>
                <w:lang w:val="en-US" w:eastAsia="zh-CN" w:bidi="ar"/>
              </w:rPr>
              <w:t>3000</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bdr w:val="none" w:color="auto" w:sz="0" w:space="0"/>
                <w:lang w:val="en-US" w:eastAsia="zh-CN" w:bidi="ar"/>
              </w:rPr>
              <w:t>10000</w:t>
            </w:r>
          </w:p>
        </w:tc>
        <w:tc>
          <w:tcPr>
            <w:tcW w:w="2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bdr w:val="none" w:color="auto" w:sz="0" w:space="0"/>
                <w:lang w:val="en-US" w:eastAsia="zh-CN" w:bidi="ar"/>
              </w:rPr>
              <w:t>1200</w:t>
            </w:r>
          </w:p>
        </w:tc>
        <w:tc>
          <w:tcPr>
            <w:tcW w:w="7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bdr w:val="none" w:color="auto" w:sz="0" w:space="0"/>
                <w:lang w:val="en-US" w:eastAsia="zh-CN" w:bidi="ar"/>
              </w:rPr>
              <w:t>800</w:t>
            </w:r>
          </w:p>
        </w:tc>
        <w:tc>
          <w:tcPr>
            <w:tcW w:w="11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bdr w:val="none" w:color="auto" w:sz="0" w:space="0"/>
                <w:lang w:val="en-US" w:eastAsia="zh-CN" w:bidi="ar"/>
              </w:rPr>
              <w:t>3200</w:t>
            </w:r>
          </w:p>
        </w:tc>
      </w:tr>
    </w:tbl>
    <w:p>
      <w:pPr>
        <w:pStyle w:val="2"/>
        <w:keepNext w:val="0"/>
        <w:keepLines w:val="0"/>
        <w:widowControl/>
        <w:suppressLineNumbers w:val="0"/>
        <w:spacing w:before="76" w:beforeAutospacing="0" w:after="210" w:afterAutospacing="0" w:line="360" w:lineRule="atLeast"/>
        <w:ind w:left="0" w:right="0"/>
        <w:jc w:val="left"/>
        <w:rPr>
          <w:rFonts w:hint="eastAsia" w:ascii="仿宋" w:hAnsi="仿宋" w:eastAsia="仿宋" w:cs="仿宋"/>
          <w:sz w:val="24"/>
          <w:szCs w:val="24"/>
        </w:rPr>
      </w:pPr>
      <w:r>
        <w:rPr>
          <w:rFonts w:hint="eastAsia" w:ascii="仿宋" w:hAnsi="仿宋" w:eastAsia="仿宋" w:cs="仿宋"/>
          <w:color w:val="212121"/>
          <w:sz w:val="24"/>
          <w:szCs w:val="24"/>
          <w:bdr w:val="none" w:color="auto" w:sz="0" w:space="0"/>
        </w:rPr>
        <w:t>　　</w:t>
      </w:r>
      <w:r>
        <w:rPr>
          <w:rStyle w:val="4"/>
          <w:rFonts w:hint="eastAsia" w:ascii="仿宋" w:hAnsi="仿宋" w:eastAsia="仿宋" w:cs="仿宋"/>
          <w:color w:val="212121"/>
          <w:sz w:val="24"/>
          <w:szCs w:val="24"/>
          <w:bdr w:val="none" w:color="auto" w:sz="0" w:space="0"/>
        </w:rPr>
        <w:t>八、套期保值交易头寸管理</w:t>
      </w:r>
      <w:r>
        <w:rPr>
          <w:rStyle w:val="4"/>
          <w:rFonts w:hint="eastAsia" w:ascii="仿宋" w:hAnsi="仿宋" w:eastAsia="仿宋" w:cs="仿宋"/>
          <w:color w:val="212121"/>
          <w:sz w:val="24"/>
          <w:szCs w:val="24"/>
          <w:bdr w:val="none" w:color="auto" w:sz="0" w:space="0"/>
        </w:rPr>
        <w:br w:type="textWrapping"/>
      </w:r>
      <w:r>
        <w:rPr>
          <w:rFonts w:hint="eastAsia" w:ascii="仿宋" w:hAnsi="仿宋" w:eastAsia="仿宋" w:cs="仿宋"/>
          <w:color w:val="212121"/>
          <w:sz w:val="24"/>
          <w:szCs w:val="24"/>
          <w:bdr w:val="none" w:color="auto" w:sz="0" w:space="0"/>
        </w:rPr>
        <w:t>　　铜期货和铜期权可以共用获批的套期保值交易头寸。</w:t>
      </w:r>
      <w:r>
        <w:rPr>
          <w:rFonts w:hint="eastAsia" w:ascii="仿宋" w:hAnsi="仿宋" w:eastAsia="仿宋" w:cs="仿宋"/>
          <w:color w:val="212121"/>
          <w:sz w:val="24"/>
          <w:szCs w:val="24"/>
          <w:bdr w:val="none" w:color="auto" w:sz="0" w:space="0"/>
        </w:rPr>
        <w:br w:type="textWrapping"/>
      </w:r>
      <w:r>
        <w:rPr>
          <w:rFonts w:hint="eastAsia" w:ascii="仿宋" w:hAnsi="仿宋" w:eastAsia="仿宋" w:cs="仿宋"/>
          <w:color w:val="212121"/>
          <w:sz w:val="24"/>
          <w:szCs w:val="24"/>
          <w:bdr w:val="none" w:color="auto" w:sz="0" w:space="0"/>
        </w:rPr>
        <w:t>　　</w:t>
      </w:r>
      <w:r>
        <w:rPr>
          <w:rStyle w:val="4"/>
          <w:rFonts w:hint="eastAsia" w:ascii="仿宋" w:hAnsi="仿宋" w:eastAsia="仿宋" w:cs="仿宋"/>
          <w:color w:val="212121"/>
          <w:sz w:val="24"/>
          <w:szCs w:val="24"/>
          <w:bdr w:val="none" w:color="auto" w:sz="0" w:space="0"/>
        </w:rPr>
        <w:t>九、相关费用</w:t>
      </w:r>
      <w:r>
        <w:rPr>
          <w:rFonts w:hint="eastAsia" w:ascii="仿宋" w:hAnsi="仿宋" w:eastAsia="仿宋" w:cs="仿宋"/>
          <w:color w:val="212121"/>
          <w:sz w:val="24"/>
          <w:szCs w:val="24"/>
          <w:bdr w:val="none" w:color="auto" w:sz="0" w:space="0"/>
        </w:rPr>
        <w:br w:type="textWrapping"/>
      </w:r>
      <w:r>
        <w:rPr>
          <w:rFonts w:hint="eastAsia" w:ascii="仿宋" w:hAnsi="仿宋" w:eastAsia="仿宋" w:cs="仿宋"/>
          <w:color w:val="212121"/>
          <w:sz w:val="24"/>
          <w:szCs w:val="24"/>
          <w:bdr w:val="none" w:color="auto" w:sz="0" w:space="0"/>
        </w:rPr>
        <w:t>　　交易手续费5元/手，平今仓暂免收交易手续费。</w:t>
      </w:r>
      <w:r>
        <w:rPr>
          <w:rFonts w:hint="eastAsia" w:ascii="仿宋" w:hAnsi="仿宋" w:eastAsia="仿宋" w:cs="仿宋"/>
          <w:color w:val="212121"/>
          <w:sz w:val="24"/>
          <w:szCs w:val="24"/>
          <w:bdr w:val="none" w:color="auto" w:sz="0" w:space="0"/>
        </w:rPr>
        <w:br w:type="textWrapping"/>
      </w:r>
      <w:r>
        <w:rPr>
          <w:rFonts w:hint="eastAsia" w:ascii="仿宋" w:hAnsi="仿宋" w:eastAsia="仿宋" w:cs="仿宋"/>
          <w:color w:val="212121"/>
          <w:sz w:val="24"/>
          <w:szCs w:val="24"/>
          <w:bdr w:val="none" w:color="auto" w:sz="0" w:space="0"/>
        </w:rPr>
        <w:t>　　行权（履约）手续费5元/手；行权前期权自对冲手续费为5元/手，行权后期货自对冲暂免收手续费；做市商期权自对冲暂免收手续费。</w:t>
      </w:r>
      <w:r>
        <w:rPr>
          <w:rFonts w:hint="eastAsia" w:ascii="仿宋" w:hAnsi="仿宋" w:eastAsia="仿宋" w:cs="仿宋"/>
          <w:color w:val="212121"/>
          <w:sz w:val="24"/>
          <w:szCs w:val="24"/>
          <w:bdr w:val="none" w:color="auto" w:sz="0" w:space="0"/>
        </w:rPr>
        <w:br w:type="textWrapping"/>
      </w:r>
      <w:r>
        <w:rPr>
          <w:rFonts w:hint="eastAsia" w:ascii="仿宋" w:hAnsi="仿宋" w:eastAsia="仿宋" w:cs="仿宋"/>
          <w:color w:val="212121"/>
          <w:sz w:val="24"/>
          <w:szCs w:val="24"/>
          <w:bdr w:val="none" w:color="auto" w:sz="0" w:space="0"/>
        </w:rPr>
        <w:t>　　</w:t>
      </w:r>
      <w:r>
        <w:rPr>
          <w:rStyle w:val="4"/>
          <w:rFonts w:hint="eastAsia" w:ascii="仿宋" w:hAnsi="仿宋" w:eastAsia="仿宋" w:cs="仿宋"/>
          <w:color w:val="212121"/>
          <w:sz w:val="24"/>
          <w:szCs w:val="24"/>
          <w:bdr w:val="none" w:color="auto" w:sz="0" w:space="0"/>
        </w:rPr>
        <w:t>十、合约询价</w:t>
      </w:r>
      <w:r>
        <w:rPr>
          <w:rFonts w:hint="eastAsia" w:ascii="仿宋" w:hAnsi="仿宋" w:eastAsia="仿宋" w:cs="仿宋"/>
          <w:color w:val="212121"/>
          <w:sz w:val="24"/>
          <w:szCs w:val="24"/>
          <w:bdr w:val="none" w:color="auto" w:sz="0" w:space="0"/>
        </w:rPr>
        <w:br w:type="textWrapping"/>
      </w:r>
      <w:r>
        <w:rPr>
          <w:rFonts w:hint="eastAsia" w:ascii="仿宋" w:hAnsi="仿宋" w:eastAsia="仿宋" w:cs="仿宋"/>
          <w:color w:val="212121"/>
          <w:sz w:val="24"/>
          <w:szCs w:val="24"/>
          <w:bdr w:val="none" w:color="auto" w:sz="0" w:space="0"/>
        </w:rPr>
        <w:t>　　非期货公司会员和客户可以向做市商询价所有已挂牌期权合约。询价请求应当指明合约代码，对同一期权合约的询价时间间隔不应低于60秒。当某一期权合约最优买卖价差小于等于如下表所示价差时，不得询价。</w:t>
      </w:r>
    </w:p>
    <w:p>
      <w:pPr>
        <w:pStyle w:val="2"/>
        <w:keepNext w:val="0"/>
        <w:keepLines w:val="0"/>
        <w:widowControl/>
        <w:suppressLineNumbers w:val="0"/>
        <w:spacing w:before="76" w:beforeAutospacing="0" w:after="210" w:afterAutospacing="0" w:line="360" w:lineRule="atLeast"/>
        <w:ind w:left="0" w:right="0"/>
        <w:jc w:val="center"/>
        <w:rPr>
          <w:rFonts w:hint="eastAsia" w:ascii="仿宋" w:hAnsi="仿宋" w:eastAsia="仿宋" w:cs="仿宋"/>
          <w:sz w:val="24"/>
          <w:szCs w:val="24"/>
        </w:rPr>
      </w:pPr>
      <w:r>
        <w:rPr>
          <w:rFonts w:hint="eastAsia" w:ascii="仿宋" w:hAnsi="仿宋" w:eastAsia="仿宋" w:cs="仿宋"/>
          <w:color w:val="212121"/>
          <w:sz w:val="24"/>
          <w:szCs w:val="24"/>
          <w:bdr w:val="none" w:color="auto" w:sz="0" w:space="0"/>
        </w:rPr>
        <w:drawing>
          <wp:inline distT="0" distB="0" distL="114300" distR="114300">
            <wp:extent cx="5819775" cy="165735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819775" cy="1657350"/>
                    </a:xfrm>
                    <a:prstGeom prst="rect">
                      <a:avLst/>
                    </a:prstGeom>
                    <a:noFill/>
                    <a:ln w="9525">
                      <a:noFill/>
                    </a:ln>
                  </pic:spPr>
                </pic:pic>
              </a:graphicData>
            </a:graphic>
          </wp:inline>
        </w:drawing>
      </w:r>
    </w:p>
    <w:p>
      <w:pPr>
        <w:pStyle w:val="2"/>
        <w:keepNext w:val="0"/>
        <w:keepLines w:val="0"/>
        <w:widowControl/>
        <w:suppressLineNumbers w:val="0"/>
        <w:spacing w:before="76" w:beforeAutospacing="0" w:after="210" w:afterAutospacing="0" w:line="360" w:lineRule="atLeast"/>
        <w:ind w:left="0" w:right="0"/>
        <w:jc w:val="left"/>
        <w:rPr>
          <w:rFonts w:hint="eastAsia" w:ascii="仿宋" w:hAnsi="仿宋" w:eastAsia="仿宋" w:cs="仿宋"/>
          <w:sz w:val="24"/>
          <w:szCs w:val="24"/>
        </w:rPr>
      </w:pPr>
      <w:r>
        <w:rPr>
          <w:rFonts w:hint="eastAsia" w:ascii="仿宋" w:hAnsi="仿宋" w:eastAsia="仿宋" w:cs="仿宋"/>
          <w:color w:val="212121"/>
          <w:sz w:val="24"/>
          <w:szCs w:val="24"/>
          <w:bdr w:val="none" w:color="auto" w:sz="0" w:space="0"/>
        </w:rPr>
        <w:t>　　</w:t>
      </w:r>
      <w:r>
        <w:rPr>
          <w:rStyle w:val="4"/>
          <w:rFonts w:hint="eastAsia" w:ascii="仿宋" w:hAnsi="仿宋" w:eastAsia="仿宋" w:cs="仿宋"/>
          <w:color w:val="212121"/>
          <w:sz w:val="24"/>
          <w:szCs w:val="24"/>
          <w:bdr w:val="none" w:color="auto" w:sz="0" w:space="0"/>
        </w:rPr>
        <w:t>十一、交易权限开通</w:t>
      </w:r>
      <w:r>
        <w:rPr>
          <w:rStyle w:val="4"/>
          <w:rFonts w:hint="eastAsia" w:ascii="仿宋" w:hAnsi="仿宋" w:eastAsia="仿宋" w:cs="仿宋"/>
          <w:color w:val="212121"/>
          <w:sz w:val="24"/>
          <w:szCs w:val="24"/>
          <w:bdr w:val="none" w:color="auto" w:sz="0" w:space="0"/>
        </w:rPr>
        <w:br w:type="textWrapping"/>
      </w:r>
      <w:r>
        <w:rPr>
          <w:rFonts w:hint="eastAsia" w:ascii="仿宋" w:hAnsi="仿宋" w:eastAsia="仿宋" w:cs="仿宋"/>
          <w:color w:val="212121"/>
          <w:sz w:val="24"/>
          <w:szCs w:val="24"/>
          <w:bdr w:val="none" w:color="auto" w:sz="0" w:space="0"/>
        </w:rPr>
        <w:t>　　投资者通过登录中国期货业协会的考试平台进行在线知识测试，测试分数需达到90分及以上。投资者可以根据《上海期货交易所期权投资者适当性管理办法》向期货公司申请开通期权交易权限。非期货公司会员参照一般单位客户适当性标准，向我所申请开通期权交易权限。</w:t>
      </w:r>
      <w:r>
        <w:rPr>
          <w:rFonts w:hint="eastAsia" w:ascii="仿宋" w:hAnsi="仿宋" w:eastAsia="仿宋" w:cs="仿宋"/>
          <w:color w:val="212121"/>
          <w:sz w:val="24"/>
          <w:szCs w:val="24"/>
          <w:bdr w:val="none" w:color="auto" w:sz="0" w:space="0"/>
        </w:rPr>
        <w:br w:type="textWrapping"/>
      </w:r>
      <w:r>
        <w:rPr>
          <w:rFonts w:hint="eastAsia" w:ascii="仿宋" w:hAnsi="仿宋" w:eastAsia="仿宋" w:cs="仿宋"/>
          <w:color w:val="212121"/>
          <w:sz w:val="24"/>
          <w:szCs w:val="24"/>
          <w:bdr w:val="none" w:color="auto" w:sz="0" w:space="0"/>
        </w:rPr>
        <w:t>　　请各有关单位做好铜期权上市的各项准备工作，加强风险管理，确保市场平稳运行。</w:t>
      </w:r>
      <w:r>
        <w:rPr>
          <w:rFonts w:hint="eastAsia" w:ascii="仿宋" w:hAnsi="仿宋" w:eastAsia="仿宋" w:cs="仿宋"/>
          <w:color w:val="212121"/>
          <w:sz w:val="24"/>
          <w:szCs w:val="24"/>
          <w:bdr w:val="none" w:color="auto" w:sz="0" w:space="0"/>
        </w:rPr>
        <w:br w:type="textWrapping"/>
      </w:r>
      <w:r>
        <w:rPr>
          <w:rFonts w:hint="eastAsia" w:ascii="仿宋" w:hAnsi="仿宋" w:eastAsia="仿宋" w:cs="仿宋"/>
          <w:color w:val="212121"/>
          <w:sz w:val="24"/>
          <w:szCs w:val="24"/>
          <w:bdr w:val="none" w:color="auto" w:sz="0" w:space="0"/>
        </w:rPr>
        <w:t>　　特此通知。</w:t>
      </w:r>
    </w:p>
    <w:p>
      <w:pPr>
        <w:pStyle w:val="2"/>
        <w:keepNext w:val="0"/>
        <w:keepLines w:val="0"/>
        <w:widowControl/>
        <w:suppressLineNumbers w:val="0"/>
        <w:spacing w:before="76" w:beforeAutospacing="0" w:after="210" w:afterAutospacing="0" w:line="360" w:lineRule="atLeast"/>
        <w:ind w:left="0" w:right="0"/>
        <w:rPr>
          <w:rFonts w:hint="eastAsia" w:ascii="仿宋" w:hAnsi="仿宋" w:eastAsia="仿宋" w:cs="仿宋"/>
          <w:sz w:val="24"/>
          <w:szCs w:val="24"/>
        </w:rPr>
      </w:pPr>
      <w:r>
        <w:rPr>
          <w:rFonts w:hint="eastAsia" w:ascii="仿宋" w:hAnsi="仿宋" w:eastAsia="仿宋" w:cs="仿宋"/>
          <w:color w:val="212121"/>
          <w:sz w:val="24"/>
          <w:szCs w:val="24"/>
          <w:bdr w:val="none" w:color="auto" w:sz="0" w:space="0"/>
        </w:rPr>
        <w:t> </w:t>
      </w:r>
    </w:p>
    <w:p>
      <w:pPr>
        <w:pStyle w:val="2"/>
        <w:keepNext w:val="0"/>
        <w:keepLines w:val="0"/>
        <w:widowControl/>
        <w:suppressLineNumbers w:val="0"/>
        <w:spacing w:before="76" w:beforeAutospacing="0" w:after="210" w:afterAutospacing="0" w:line="360" w:lineRule="atLeast"/>
        <w:ind w:left="0" w:right="0"/>
        <w:jc w:val="right"/>
        <w:rPr>
          <w:rFonts w:hint="eastAsia" w:ascii="仿宋" w:hAnsi="仿宋" w:eastAsia="仿宋" w:cs="仿宋"/>
          <w:sz w:val="24"/>
          <w:szCs w:val="24"/>
        </w:rPr>
      </w:pPr>
      <w:r>
        <w:rPr>
          <w:rFonts w:hint="eastAsia" w:ascii="仿宋" w:hAnsi="仿宋" w:eastAsia="仿宋" w:cs="仿宋"/>
          <w:color w:val="212121"/>
          <w:sz w:val="24"/>
          <w:szCs w:val="24"/>
          <w:bdr w:val="none" w:color="auto" w:sz="0" w:space="0"/>
        </w:rPr>
        <w:t xml:space="preserve">上海期货交易所 </w:t>
      </w:r>
      <w:r>
        <w:rPr>
          <w:rFonts w:hint="eastAsia" w:ascii="仿宋" w:hAnsi="仿宋" w:eastAsia="仿宋" w:cs="仿宋"/>
          <w:color w:val="212121"/>
          <w:sz w:val="24"/>
          <w:szCs w:val="24"/>
          <w:bdr w:val="none" w:color="auto" w:sz="0" w:space="0"/>
        </w:rPr>
        <w:br w:type="textWrapping"/>
      </w:r>
      <w:r>
        <w:rPr>
          <w:rFonts w:hint="eastAsia" w:ascii="仿宋" w:hAnsi="仿宋" w:eastAsia="仿宋" w:cs="仿宋"/>
          <w:color w:val="212121"/>
          <w:sz w:val="24"/>
          <w:szCs w:val="24"/>
          <w:bdr w:val="none" w:color="auto" w:sz="0" w:space="0"/>
        </w:rPr>
        <w:t xml:space="preserve">2018年9月6日 </w:t>
      </w:r>
      <w:r>
        <w:rPr>
          <w:rFonts w:hint="eastAsia" w:ascii="仿宋" w:hAnsi="仿宋" w:eastAsia="仿宋" w:cs="仿宋"/>
          <w:color w:val="212121"/>
          <w:sz w:val="24"/>
          <w:szCs w:val="24"/>
          <w:bdr w:val="none" w:color="auto" w:sz="0" w:space="0"/>
        </w:rPr>
        <w:br w:type="textWrapping"/>
      </w:r>
      <w:r>
        <w:rPr>
          <w:rFonts w:hint="eastAsia" w:ascii="仿宋" w:hAnsi="仿宋" w:eastAsia="仿宋" w:cs="仿宋"/>
          <w:color w:val="212121"/>
          <w:sz w:val="24"/>
          <w:szCs w:val="24"/>
          <w:bdr w:val="none" w:color="auto" w:sz="0" w:space="0"/>
        </w:rPr>
        <w:t> </w:t>
      </w:r>
    </w:p>
    <w:p>
      <w:pPr>
        <w:rPr>
          <w:rFonts w:hint="eastAsia" w:ascii="仿宋" w:hAnsi="仿宋" w:eastAsia="仿宋" w:cs="仿宋"/>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EC0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33333"/>
      <w:u w:val="none"/>
    </w:rPr>
  </w:style>
  <w:style w:type="character" w:styleId="6">
    <w:name w:val="Hyperlink"/>
    <w:basedOn w:val="3"/>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windows 7</dc:creator>
  <cp:lastModifiedBy>有态度的呼吸</cp:lastModifiedBy>
  <dcterms:modified xsi:type="dcterms:W3CDTF">2018-09-10T06:54:00Z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